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uto"/>
        <w:jc w:val="center"/>
      </w:pPr>
      <w:r>
        <w:drawing>
          <wp:anchor distT="0" distB="0" distL="114300" distR="114300" simplePos="0" relativeHeight="1024" behindDoc="0" locked="0" layoutInCell="1" allowOverlap="1">
            <wp:simplePos x="0" y="0"/>
            <wp:positionH relativeFrom="column">
              <wp:posOffset>1979930</wp:posOffset>
            </wp:positionH>
            <wp:positionV relativeFrom="paragraph">
              <wp:posOffset>123825</wp:posOffset>
            </wp:positionV>
            <wp:extent cx="1314450" cy="1228725"/>
            <wp:effectExtent l="0" t="0" r="0" b="9525"/>
            <wp:wrapNone/>
            <wp:docPr id="2" name="图片 3" descr="学校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校LO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both"/>
        <w:rPr>
          <w:b/>
          <w:bCs/>
          <w:sz w:val="52"/>
          <w:szCs w:val="52"/>
        </w:rPr>
      </w:pPr>
      <w:r>
        <w:drawing>
          <wp:anchor distT="0" distB="0" distL="114300" distR="114300" simplePos="0" relativeHeight="1024" behindDoc="0" locked="0" layoutInCell="1" allowOverlap="1">
            <wp:simplePos x="0" y="0"/>
            <wp:positionH relativeFrom="column">
              <wp:posOffset>727075</wp:posOffset>
            </wp:positionH>
            <wp:positionV relativeFrom="paragraph">
              <wp:posOffset>325120</wp:posOffset>
            </wp:positionV>
            <wp:extent cx="3819525" cy="723900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both"/>
        <w:rPr>
          <w:b/>
          <w:bCs/>
          <w:sz w:val="52"/>
          <w:szCs w:val="52"/>
        </w:rPr>
      </w:pPr>
    </w:p>
    <w:p>
      <w:pPr>
        <w:spacing w:line="360" w:lineRule="auto"/>
        <w:jc w:val="both"/>
        <w:rPr>
          <w:b/>
          <w:bCs/>
          <w:sz w:val="52"/>
          <w:szCs w:val="52"/>
        </w:rPr>
      </w:pPr>
    </w:p>
    <w:p>
      <w:pPr>
        <w:spacing w:line="360" w:lineRule="auto"/>
      </w:pPr>
    </w:p>
    <w:p>
      <w:pPr>
        <w:spacing w:line="360" w:lineRule="auto"/>
        <w:jc w:val="center"/>
      </w:pPr>
      <w:r>
        <w:rPr>
          <w:b/>
          <w:bCs/>
          <w:sz w:val="52"/>
          <w:szCs w:val="52"/>
        </w:rPr>
        <w:t>本科毕业论文</w:t>
      </w:r>
      <w:r>
        <w:rPr>
          <w:rFonts w:hint="eastAsia"/>
          <w:b/>
          <w:bCs/>
          <w:sz w:val="52"/>
          <w:szCs w:val="52"/>
          <w:lang w:eastAsia="zh-CN"/>
        </w:rPr>
        <w:t>（</w:t>
      </w:r>
      <w:r>
        <w:rPr>
          <w:rFonts w:hint="eastAsia"/>
          <w:b/>
          <w:bCs/>
          <w:sz w:val="52"/>
          <w:szCs w:val="52"/>
          <w:lang w:val="en-US" w:eastAsia="zh-CN"/>
        </w:rPr>
        <w:t>设计</w:t>
      </w:r>
      <w:r>
        <w:rPr>
          <w:rFonts w:hint="eastAsia"/>
          <w:b/>
          <w:bCs/>
          <w:sz w:val="52"/>
          <w:szCs w:val="52"/>
          <w:lang w:eastAsia="zh-CN"/>
        </w:rPr>
        <w:t>）</w:t>
      </w:r>
      <w:r>
        <w:rPr>
          <w:b/>
          <w:bCs/>
          <w:sz w:val="52"/>
          <w:szCs w:val="52"/>
        </w:rPr>
        <w:t>正文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jc w:val="center"/>
        <w:rPr>
          <w:b/>
          <w:bCs/>
          <w:color w:val="ED7D31"/>
          <w:sz w:val="32"/>
          <w:szCs w:val="32"/>
        </w:rPr>
      </w:pPr>
      <w:r>
        <w:rPr>
          <w:b/>
          <w:sz w:val="32"/>
          <w:szCs w:val="32"/>
        </w:rPr>
        <w:t>题目：</w:t>
      </w:r>
      <w:r>
        <w:rPr>
          <w:b/>
          <w:bCs/>
          <w:color w:val="ED7D31"/>
          <w:sz w:val="32"/>
          <w:szCs w:val="32"/>
        </w:rPr>
        <w:t>（中文标题，宋体，三号加粗，涉及英文字符与阿拉伯数字，Times New Roman，居中）</w:t>
      </w:r>
      <w:bookmarkStart w:id="2" w:name="_GoBack"/>
      <w:bookmarkEnd w:id="2"/>
    </w:p>
    <w:p>
      <w:pPr>
        <w:spacing w:line="400" w:lineRule="exact"/>
        <w:rPr>
          <w:b/>
          <w:bCs/>
          <w:sz w:val="32"/>
        </w:rPr>
      </w:pPr>
    </w:p>
    <w:p>
      <w:pPr>
        <w:spacing w:line="400" w:lineRule="exact"/>
        <w:rPr>
          <w:b/>
          <w:bCs/>
          <w:sz w:val="32"/>
        </w:rPr>
      </w:pPr>
    </w:p>
    <w:p>
      <w:pPr>
        <w:spacing w:line="700" w:lineRule="exact"/>
        <w:ind w:firstLine="1911" w:firstLineChars="595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  <w:t>专    业：</w:t>
      </w:r>
    </w:p>
    <w:p>
      <w:pPr>
        <w:spacing w:line="700" w:lineRule="exact"/>
        <w:ind w:firstLine="1911" w:firstLineChars="595"/>
        <w:rPr>
          <w:rFonts w:hint="eastAsia" w:eastAsia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32"/>
          <w:highlight w:val="none"/>
          <w:lang w:val="en-US" w:eastAsia="zh-CN"/>
        </w:rPr>
        <w:t>班    级：</w:t>
      </w:r>
    </w:p>
    <w:p>
      <w:pPr>
        <w:spacing w:line="700" w:lineRule="exact"/>
        <w:ind w:firstLine="1911" w:firstLineChars="595"/>
        <w:rPr>
          <w:b/>
          <w:bCs/>
          <w:sz w:val="32"/>
          <w:szCs w:val="32"/>
          <w:highlight w:val="none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val="en-US" w:eastAsia="zh-CN"/>
        </w:rPr>
        <w:t>学    号</w:t>
      </w:r>
      <w:r>
        <w:rPr>
          <w:b/>
          <w:bCs/>
          <w:color w:val="auto"/>
          <w:sz w:val="32"/>
          <w:szCs w:val="32"/>
          <w:highlight w:val="none"/>
        </w:rPr>
        <w:t>：</w:t>
      </w:r>
    </w:p>
    <w:p>
      <w:pPr>
        <w:spacing w:line="700" w:lineRule="exact"/>
        <w:ind w:firstLine="1911" w:firstLineChars="595"/>
        <w:rPr>
          <w:b/>
          <w:bCs/>
          <w:sz w:val="32"/>
          <w:szCs w:val="32"/>
        </w:rPr>
      </w:pPr>
    </w:p>
    <w:p>
      <w:pPr>
        <w:jc w:val="center"/>
        <w:rPr>
          <w:b/>
          <w:bCs/>
          <w:color w:val="ED7D31"/>
          <w:sz w:val="32"/>
          <w:szCs w:val="32"/>
        </w:rPr>
      </w:pPr>
      <w:r>
        <w:rPr>
          <w:b/>
          <w:bCs/>
          <w:color w:val="ED7D31"/>
          <w:sz w:val="32"/>
          <w:szCs w:val="32"/>
        </w:rPr>
        <w:t>（模板中说明性橙色文字提交时请删除）</w:t>
      </w:r>
    </w:p>
    <w:p>
      <w:pPr>
        <w:jc w:val="center"/>
        <w:rPr>
          <w:b/>
          <w:bCs/>
          <w:sz w:val="32"/>
        </w:rPr>
      </w:pPr>
      <w:r>
        <w:rPr>
          <w:b/>
          <w:bCs/>
          <w:color w:val="ED7D31"/>
          <w:sz w:val="32"/>
          <w:szCs w:val="32"/>
        </w:rPr>
        <w:t>（正文不得少于</w:t>
      </w:r>
      <w:r>
        <w:rPr>
          <w:rFonts w:hint="eastAsia"/>
          <w:b/>
          <w:bCs/>
          <w:color w:val="ED7D31"/>
          <w:sz w:val="32"/>
          <w:szCs w:val="32"/>
          <w:lang w:val="en-US" w:eastAsia="zh-CN"/>
        </w:rPr>
        <w:t>8000</w:t>
      </w:r>
      <w:r>
        <w:rPr>
          <w:b/>
          <w:bCs/>
          <w:color w:val="ED7D31"/>
          <w:sz w:val="32"/>
          <w:szCs w:val="32"/>
        </w:rPr>
        <w:t>字）</w:t>
      </w:r>
    </w:p>
    <w:p>
      <w:pPr>
        <w:jc w:val="center"/>
        <w:rPr>
          <w:b/>
          <w:bCs/>
          <w:sz w:val="32"/>
        </w:rPr>
      </w:pPr>
    </w:p>
    <w:p>
      <w:pPr>
        <w:jc w:val="center"/>
        <w:rPr>
          <w:sz w:val="32"/>
        </w:rPr>
      </w:pPr>
      <w:r>
        <w:rPr>
          <w:b/>
          <w:bCs/>
          <w:sz w:val="32"/>
        </w:rPr>
        <w:t>二〇</w:t>
      </w:r>
      <w:r>
        <w:rPr>
          <w:rFonts w:hint="eastAsia"/>
          <w:b/>
          <w:bCs/>
          <w:sz w:val="32"/>
        </w:rPr>
        <w:t xml:space="preserve"> </w:t>
      </w:r>
      <w:r>
        <w:rPr>
          <w:b/>
          <w:bCs/>
          <w:sz w:val="32"/>
        </w:rPr>
        <w:t xml:space="preserve">   年</w:t>
      </w:r>
      <w:r>
        <w:rPr>
          <w:rFonts w:hint="eastAsia"/>
          <w:b/>
          <w:bCs/>
          <w:sz w:val="32"/>
        </w:rPr>
        <w:t xml:space="preserve"> </w:t>
      </w:r>
      <w:r>
        <w:rPr>
          <w:b/>
          <w:bCs/>
          <w:sz w:val="32"/>
        </w:rPr>
        <w:t xml:space="preserve">   月</w:t>
      </w:r>
    </w:p>
    <w:p>
      <w:pPr>
        <w:jc w:val="center"/>
        <w:rPr>
          <w:rFonts w:eastAsia="黑体"/>
          <w:b/>
          <w:bCs/>
          <w:sz w:val="32"/>
          <w:szCs w:val="32"/>
        </w:rPr>
      </w:pPr>
    </w:p>
    <w:p>
      <w:pPr>
        <w:jc w:val="center"/>
        <w:rPr>
          <w:rFonts w:eastAsia="黑体"/>
          <w:b/>
          <w:bCs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</w:pPr>
      <w:r>
        <w:rPr>
          <w:rFonts w:eastAsia="黑体"/>
          <w:b/>
          <w:bCs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  <w:t>中文题目（三号，黑体加粗,上下空一行，居中）</w:t>
      </w:r>
    </w:p>
    <w:p>
      <w:pPr>
        <w:jc w:val="center"/>
        <w:rPr>
          <w:rFonts w:eastAsia="黑体"/>
          <w:b/>
          <w:bCs/>
          <w:sz w:val="32"/>
          <w:szCs w:val="32"/>
        </w:rPr>
      </w:pPr>
    </w:p>
    <w:p>
      <w:pPr>
        <w:spacing w:line="360" w:lineRule="auto"/>
        <w:ind w:firstLine="472" w:firstLineChars="196"/>
        <w:rPr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bCs/>
        </w:rPr>
        <w:t>摘  要：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（小四，宋体；摘要的英文字符以及阿拉伯数字，用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；标题加粗，内容不加粗；行间距固定值20磅；字数200-400字为宜；两端对齐。）</w:t>
      </w:r>
    </w:p>
    <w:p>
      <w:pPr>
        <w:spacing w:line="360" w:lineRule="auto"/>
        <w:ind w:firstLine="472" w:firstLineChars="196"/>
        <w:rPr>
          <w:b/>
          <w:bCs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</w:pPr>
      <w:r>
        <w:rPr>
          <w:b/>
          <w:bCs/>
        </w:rPr>
        <w:t>关键词</w:t>
      </w:r>
      <w:r>
        <w:rPr>
          <w:b/>
          <w:bCs/>
          <w:sz w:val="32"/>
          <w:szCs w:val="32"/>
        </w:rPr>
        <w:t>：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（小四，宋体；关键词的英文字符以及阿拉伯数字，用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；标题加粗，内容不加粗；行间距固定值20磅；3-5个关键词，关键词之间以</w:t>
      </w:r>
      <w:r>
        <w:rPr>
          <w:rFonts w:hint="eastAsia"/>
          <w:bCs/>
          <w:color w:val="ED7D31" w:themeColor="accent2"/>
          <w14:textFill>
            <w14:solidFill>
              <w14:schemeClr w14:val="accent2"/>
            </w14:solidFill>
          </w14:textFill>
        </w:rPr>
        <w:t>中文分号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为分隔。两端对齐。）</w:t>
      </w:r>
    </w:p>
    <w:p>
      <w:pPr>
        <w:spacing w:line="360" w:lineRule="auto"/>
        <w:ind w:firstLine="470" w:firstLineChars="196"/>
        <w:rPr>
          <w:b/>
          <w:bCs/>
          <w:sz w:val="32"/>
          <w:szCs w:val="32"/>
        </w:rPr>
      </w:pPr>
      <w:r>
        <w:rPr>
          <w:bCs/>
        </w:rPr>
        <w:t xml:space="preserve">                           </w:t>
      </w:r>
    </w:p>
    <w:p>
      <w:pPr>
        <w:jc w:val="center"/>
        <w:rPr>
          <w:b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</w:pPr>
      <w:r>
        <w:rPr>
          <w:rFonts w:eastAsia="黑体"/>
          <w:b/>
          <w:bCs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  <w:t>英文题目（三号，</w:t>
      </w:r>
      <w:r>
        <w:rPr>
          <w:b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  <w:t>Times New Roman，加粗，</w:t>
      </w:r>
    </w:p>
    <w:p>
      <w:pPr>
        <w:jc w:val="center"/>
        <w:rPr>
          <w:rFonts w:eastAsia="黑体"/>
          <w:b/>
          <w:bCs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</w:pPr>
      <w:r>
        <w:rPr>
          <w:rFonts w:eastAsia="黑体"/>
          <w:b/>
          <w:bCs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  <w:t>上下空一行，居中）</w:t>
      </w:r>
    </w:p>
    <w:p>
      <w:pPr>
        <w:ind w:firstLine="472" w:firstLineChars="196"/>
        <w:rPr>
          <w:b/>
          <w:bCs/>
        </w:rPr>
      </w:pPr>
      <w:r>
        <w:rPr>
          <w:b/>
          <w:bCs/>
        </w:rPr>
        <w:t xml:space="preserve">                              </w:t>
      </w:r>
    </w:p>
    <w:p>
      <w:pPr>
        <w:spacing w:line="360" w:lineRule="auto"/>
        <w:ind w:firstLine="472" w:firstLineChars="196"/>
        <w:rPr>
          <w:b/>
          <w:bCs/>
        </w:rPr>
      </w:pPr>
      <w:r>
        <w:rPr>
          <w:b/>
          <w:bCs/>
        </w:rPr>
        <w:t xml:space="preserve">Abstract: 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（小四，字体为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；标题加粗，内容不加粗；行间距固定值20磅，两端对齐。）</w:t>
      </w:r>
      <w:r>
        <w:rPr>
          <w:bCs/>
        </w:rPr>
        <w:t xml:space="preserve">                        </w:t>
      </w:r>
    </w:p>
    <w:p>
      <w:pPr>
        <w:spacing w:line="360" w:lineRule="auto"/>
        <w:ind w:firstLine="472" w:firstLineChars="196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bCs/>
        </w:rPr>
        <w:t xml:space="preserve">Keywords: 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（小四，字体为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；标题加黑，内容不加黑；行间距固定值20磅。关键词之间以“英文逗号加一个英文空格”为分隔。两端对齐）</w:t>
      </w:r>
    </w:p>
    <w:p>
      <w:pPr>
        <w:spacing w:line="360" w:lineRule="auto"/>
        <w:jc w:val="both"/>
        <w:rPr>
          <w:b/>
          <w:bCs/>
        </w:rPr>
      </w:pPr>
    </w:p>
    <w:p>
      <w:pPr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ind w:firstLine="630" w:firstLineChars="19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>
      <w:pPr>
        <w:ind w:firstLine="630" w:firstLineChars="196"/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/>
          <w:b/>
          <w:bCs/>
          <w:sz w:val="32"/>
          <w:szCs w:val="32"/>
        </w:rPr>
        <w:t>正文目录</w:t>
      </w:r>
      <w:r>
        <w:rPr>
          <w:rFonts w:eastAsia="黑体"/>
          <w:b/>
          <w:bCs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  <w:t>（三号，黑体，居中，上下空一行）</w:t>
      </w:r>
    </w:p>
    <w:p>
      <w:pPr>
        <w:ind w:firstLine="630" w:firstLineChars="196"/>
        <w:jc w:val="center"/>
        <w:rPr>
          <w:b/>
          <w:bCs/>
          <w:sz w:val="32"/>
          <w:szCs w:val="32"/>
        </w:rPr>
      </w:pPr>
    </w:p>
    <w:p>
      <w:pPr>
        <w:spacing w:line="360" w:lineRule="auto"/>
        <w:ind w:firstLine="235" w:firstLineChars="98"/>
        <w:rPr>
          <w:bCs/>
        </w:rPr>
      </w:pPr>
      <w:r>
        <w:rPr>
          <w:bCs/>
        </w:rPr>
        <w:t>一、……………………………………………………………………………</w:t>
      </w:r>
    </w:p>
    <w:p>
      <w:pPr>
        <w:spacing w:line="360" w:lineRule="auto"/>
        <w:ind w:firstLine="235" w:firstLineChars="98"/>
        <w:jc w:val="both"/>
        <w:rPr>
          <w:bCs/>
        </w:rPr>
      </w:pPr>
      <w:r>
        <w:rPr>
          <w:bCs/>
        </w:rPr>
        <w:t>二、……………………………………………………………………………</w:t>
      </w:r>
    </w:p>
    <w:p>
      <w:pPr>
        <w:spacing w:line="360" w:lineRule="auto"/>
        <w:jc w:val="both"/>
        <w:rPr>
          <w:bCs/>
        </w:rPr>
      </w:pPr>
      <w:r>
        <w:rPr>
          <w:bCs/>
        </w:rPr>
        <w:t xml:space="preserve">  三、……………………………………………………………………………</w:t>
      </w:r>
    </w:p>
    <w:p>
      <w:pPr>
        <w:spacing w:line="360" w:lineRule="auto"/>
        <w:jc w:val="both"/>
        <w:rPr>
          <w:bCs/>
        </w:rPr>
      </w:pPr>
      <w:r>
        <w:rPr>
          <w:bCs/>
        </w:rPr>
        <w:t xml:space="preserve">  四、……………………………………………………………………………</w:t>
      </w:r>
    </w:p>
    <w:p>
      <w:pPr>
        <w:spacing w:line="360" w:lineRule="auto"/>
        <w:jc w:val="both"/>
        <w:rPr>
          <w:bCs/>
        </w:rPr>
      </w:pPr>
      <w:r>
        <w:rPr>
          <w:bCs/>
        </w:rPr>
        <w:t xml:space="preserve">  五、……………………………………………………………………………</w:t>
      </w:r>
    </w:p>
    <w:p>
      <w:pPr>
        <w:spacing w:line="360" w:lineRule="auto"/>
        <w:jc w:val="both"/>
        <w:rPr>
          <w:bCs/>
        </w:rPr>
      </w:pPr>
      <w:r>
        <w:rPr>
          <w:bCs/>
        </w:rPr>
        <w:t xml:space="preserve">  六、……………………………………………………………………………</w:t>
      </w:r>
    </w:p>
    <w:p>
      <w:pPr>
        <w:spacing w:line="360" w:lineRule="auto"/>
        <w:jc w:val="both"/>
        <w:rPr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（以上小四，宋体；目录的英文字符用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；行间距固定值20磅；页码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置于最右边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）</w:t>
      </w: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630" w:firstLineChars="196"/>
        <w:jc w:val="both"/>
        <w:rPr>
          <w:b/>
          <w:bCs/>
          <w:color w:val="E36C09"/>
          <w:sz w:val="32"/>
          <w:szCs w:val="32"/>
        </w:rPr>
      </w:pPr>
      <w:r>
        <w:rPr>
          <w:b/>
          <w:bCs/>
          <w:color w:val="E36C09"/>
          <w:sz w:val="32"/>
          <w:szCs w:val="32"/>
        </w:rPr>
        <w:t>目录到二级目录</w:t>
      </w: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</w:rPr>
      </w:pPr>
    </w:p>
    <w:p>
      <w:pPr>
        <w:spacing w:line="360" w:lineRule="auto"/>
        <w:ind w:firstLine="472" w:firstLineChars="196"/>
        <w:jc w:val="both"/>
        <w:rPr>
          <w:b/>
          <w:bCs/>
          <w:color w:val="ED7D31"/>
        </w:rPr>
      </w:pPr>
      <w:r>
        <w:rPr>
          <w:b/>
          <w:bCs/>
          <w:color w:val="ED7D31"/>
        </w:rPr>
        <w:t>（注意此处插入一个分节符，正文页码重新从1开始）</w:t>
      </w:r>
    </w:p>
    <w:p>
      <w:pPr>
        <w:spacing w:line="360" w:lineRule="auto"/>
        <w:ind w:firstLine="472" w:firstLineChars="196"/>
        <w:jc w:val="both"/>
        <w:rPr>
          <w:b/>
          <w:bCs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pgNumType w:start="0"/>
          <w:cols w:space="720" w:num="1"/>
          <w:titlePg/>
          <w:docGrid w:type="lines" w:linePitch="312" w:charSpace="0"/>
        </w:sectPr>
      </w:pPr>
    </w:p>
    <w:p>
      <w:pPr>
        <w:spacing w:line="360" w:lineRule="auto"/>
        <w:ind w:firstLine="472" w:firstLineChars="196"/>
        <w:jc w:val="both"/>
        <w:rPr>
          <w:rFonts w:hint="default" w:eastAsia="宋体"/>
          <w:b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b/>
          <w:bCs/>
          <w:color w:val="ED7D31"/>
        </w:rPr>
        <w:t>此处开始写作毕业论文正文。</w:t>
      </w:r>
      <w:r>
        <w:rPr>
          <w:bCs/>
        </w:rPr>
        <w:t>（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小四，宋体；英文字符以及阿拉伯数字用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；行间距固定值20磅，两端对齐）</w:t>
      </w:r>
      <w:r>
        <w:rPr>
          <w:rFonts w:hint="eastAsia"/>
          <w:bCs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，</w:t>
      </w:r>
      <w:r>
        <w:rPr>
          <w:rFonts w:hint="eastAsia"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具体格式要求如下：</w:t>
      </w:r>
    </w:p>
    <w:p>
      <w:pPr>
        <w:spacing w:line="400" w:lineRule="exact"/>
        <w:ind w:firstLine="482" w:firstLineChars="200"/>
        <w:rPr>
          <w:b/>
          <w:color w:val="ED7D31" w:themeColor="accent2"/>
          <w14:textFill>
            <w14:solidFill>
              <w14:schemeClr w14:val="accent2"/>
            </w14:solidFill>
          </w14:textFill>
        </w:rPr>
      </w:pPr>
    </w:p>
    <w:p>
      <w:pPr>
        <w:spacing w:line="400" w:lineRule="exact"/>
        <w:ind w:firstLine="482" w:firstLineChars="200"/>
        <w:rPr>
          <w:b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color w:val="ED7D31" w:themeColor="accent2"/>
          <w14:textFill>
            <w14:solidFill>
              <w14:schemeClr w14:val="accent2"/>
            </w14:solidFill>
          </w14:textFill>
        </w:rPr>
        <w:t>（一）稿件正文的标题连续编号</w:t>
      </w:r>
    </w:p>
    <w:p>
      <w:pPr>
        <w:spacing w:line="360" w:lineRule="auto"/>
        <w:ind w:firstLine="480" w:firstLineChars="200"/>
        <w:jc w:val="both"/>
        <w:rPr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14:textFill>
            <w14:solidFill>
              <w14:schemeClr w14:val="accent2"/>
            </w14:solidFill>
          </w14:textFill>
        </w:rPr>
        <w:t>一级标题用一、二、三等编号，二级标题用（一）（二）（三）等，三级标题用1</w:t>
      </w:r>
      <w:r>
        <w:rPr>
          <w:rStyle w:val="10"/>
          <w:color w:val="ED7D31" w:themeColor="accent2"/>
          <w14:textFill>
            <w14:solidFill>
              <w14:schemeClr w14:val="accent2"/>
            </w14:solidFill>
          </w14:textFill>
        </w:rPr>
        <w:t>.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 xml:space="preserve"> 2</w:t>
      </w:r>
      <w:r>
        <w:rPr>
          <w:rStyle w:val="10"/>
          <w:color w:val="ED7D31" w:themeColor="accent2"/>
          <w14:textFill>
            <w14:solidFill>
              <w14:schemeClr w14:val="accent2"/>
            </w14:solidFill>
          </w14:textFill>
        </w:rPr>
        <w:t>.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 xml:space="preserve"> 3</w:t>
      </w:r>
      <w:r>
        <w:rPr>
          <w:rStyle w:val="10"/>
          <w:color w:val="ED7D31" w:themeColor="accent2"/>
          <w14:textFill>
            <w14:solidFill>
              <w14:schemeClr w14:val="accent2"/>
            </w14:solidFill>
          </w14:textFill>
        </w:rPr>
        <w:t xml:space="preserve">. 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等，四级标题用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（1）（2）（3）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等。一级标题居中，</w:t>
      </w:r>
      <w:r>
        <w:rPr>
          <w:rFonts w:hint="eastAsia"/>
          <w:color w:val="ED7D31" w:themeColor="accent2"/>
          <w14:textFill>
            <w14:solidFill>
              <w14:schemeClr w14:val="accent2"/>
            </w14:solidFill>
          </w14:textFill>
        </w:rPr>
        <w:t>上下各空一行。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二级及以下标题左对齐，空两格</w:t>
      </w:r>
      <w:r>
        <w:rPr>
          <w:rFonts w:hint="eastAsia"/>
          <w:color w:val="ED7D31" w:themeColor="accent2"/>
          <w14:textFill>
            <w14:solidFill>
              <w14:schemeClr w14:val="accent2"/>
            </w14:solidFill>
          </w14:textFill>
        </w:rPr>
        <w:t>，不空行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。前三级标题独占一行，标题后不用标点符号，四级及以下与正文连排。文字两端对齐。举例如下：</w:t>
      </w:r>
    </w:p>
    <w:p>
      <w:pPr>
        <w:spacing w:line="400" w:lineRule="exact"/>
        <w:ind w:firstLine="480" w:firstLineChars="200"/>
        <w:jc w:val="both"/>
        <w:rPr>
          <w:color w:val="ED7D31" w:themeColor="accent2"/>
          <w14:textFill>
            <w14:solidFill>
              <w14:schemeClr w14:val="accent2"/>
            </w14:solidFill>
          </w14:textFill>
        </w:rPr>
      </w:pPr>
    </w:p>
    <w:p>
      <w:pPr>
        <w:spacing w:line="400" w:lineRule="exact"/>
        <w:jc w:val="center"/>
        <w:rPr>
          <w:b/>
          <w:bCs/>
          <w:color w:val="ED7D31" w:themeColor="accent2"/>
          <w:sz w:val="28"/>
          <w:szCs w:val="28"/>
          <w14:textFill>
            <w14:solidFill>
              <w14:schemeClr w14:val="accent2"/>
            </w14:solidFill>
          </w14:textFill>
        </w:rPr>
      </w:pPr>
      <w:r>
        <w:rPr>
          <w:b/>
          <w:bCs/>
          <w:color w:val="ED7D31" w:themeColor="accent2"/>
          <w:sz w:val="28"/>
          <w:szCs w:val="28"/>
          <w14:textFill>
            <w14:solidFill>
              <w14:schemeClr w14:val="accent2"/>
            </w14:solidFill>
          </w14:textFill>
        </w:rPr>
        <w:t>一、（四号，宋体；一级标题行间距2倍，居中</w:t>
      </w:r>
      <w:r>
        <w:rPr>
          <w:rFonts w:hint="eastAsia"/>
          <w:b/>
          <w:bCs/>
          <w:color w:val="ED7D31" w:themeColor="accent2"/>
          <w:sz w:val="28"/>
          <w:szCs w:val="28"/>
          <w14:textFill>
            <w14:solidFill>
              <w14:schemeClr w14:val="accent2"/>
            </w14:solidFill>
          </w14:textFill>
        </w:rPr>
        <w:t>，上下各空一行</w:t>
      </w:r>
      <w:r>
        <w:rPr>
          <w:b/>
          <w:bCs/>
          <w:color w:val="ED7D31" w:themeColor="accent2"/>
          <w:sz w:val="28"/>
          <w:szCs w:val="28"/>
          <w14:textFill>
            <w14:solidFill>
              <w14:schemeClr w14:val="accent2"/>
            </w14:solidFill>
          </w14:textFill>
        </w:rPr>
        <w:t>）</w:t>
      </w:r>
    </w:p>
    <w:p>
      <w:pPr>
        <w:spacing w:line="400" w:lineRule="exact"/>
        <w:ind w:firstLine="472" w:firstLineChars="196"/>
        <w:jc w:val="both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</w:p>
    <w:p>
      <w:pPr>
        <w:spacing w:line="400" w:lineRule="exact"/>
        <w:ind w:firstLine="472" w:firstLineChars="196"/>
        <w:jc w:val="both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（一）（小四，宋体；二级标题行间距20磅；括号后面不加顿号）</w:t>
      </w:r>
    </w:p>
    <w:p>
      <w:pPr>
        <w:spacing w:line="400" w:lineRule="exact"/>
        <w:ind w:firstLine="472" w:firstLineChars="196"/>
        <w:jc w:val="both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1.（小四，宋体；三级标题行间距20磅）</w:t>
      </w:r>
    </w:p>
    <w:p>
      <w:pPr>
        <w:spacing w:line="400" w:lineRule="exact"/>
        <w:ind w:firstLine="472" w:firstLineChars="196"/>
        <w:jc w:val="both"/>
        <w:rPr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（1）（小四，宋体；四级标题行间距20磅；括号后面不加顿号）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这里是正文部分。</w:t>
      </w:r>
    </w:p>
    <w:p>
      <w:pPr>
        <w:spacing w:line="400" w:lineRule="exact"/>
        <w:ind w:firstLine="480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（</w:t>
      </w:r>
      <w:r>
        <w:rPr>
          <w:rFonts w:hint="eastAsia"/>
          <w:b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二</w:t>
      </w: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）全文行间距</w:t>
      </w:r>
    </w:p>
    <w:p>
      <w:pPr>
        <w:spacing w:line="400" w:lineRule="exact"/>
        <w:ind w:firstLine="480"/>
        <w:rPr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固定值20磅；页边距Word默认大小，即上下均2.54厘米，左右均为3.17厘米。</w:t>
      </w:r>
    </w:p>
    <w:p>
      <w:pPr>
        <w:spacing w:line="400" w:lineRule="exact"/>
        <w:ind w:firstLine="472" w:firstLineChars="196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（</w:t>
      </w:r>
      <w:r>
        <w:rPr>
          <w:rFonts w:hint="eastAsia"/>
          <w:b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三</w:t>
      </w: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）脚注</w:t>
      </w:r>
    </w:p>
    <w:p>
      <w:pPr>
        <w:spacing w:line="400" w:lineRule="exact"/>
        <w:ind w:firstLine="470" w:firstLineChars="196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脚注为当页注，采用</w:t>
      </w:r>
      <w:r>
        <w:rPr>
          <w:rFonts w:hint="eastAsia" w:ascii="宋体" w:hAnsi="宋体" w:cs="宋体"/>
          <w:bCs/>
          <w:color w:val="ED7D31" w:themeColor="accent2"/>
          <w14:textFill>
            <w14:solidFill>
              <w14:schemeClr w14:val="accent2"/>
            </w14:solidFill>
          </w14:textFill>
        </w:rPr>
        <w:t>①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，</w:t>
      </w:r>
      <w:r>
        <w:rPr>
          <w:rFonts w:hint="eastAsia" w:ascii="宋体" w:hAnsi="宋体" w:cs="宋体"/>
          <w:bCs/>
          <w:color w:val="ED7D31" w:themeColor="accent2"/>
          <w14:textFill>
            <w14:solidFill>
              <w14:schemeClr w14:val="accent2"/>
            </w14:solidFill>
          </w14:textFill>
        </w:rPr>
        <w:t>②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，</w:t>
      </w:r>
      <w:r>
        <w:rPr>
          <w:rFonts w:hint="eastAsia" w:ascii="宋体" w:hAnsi="宋体" w:cs="宋体"/>
          <w:bCs/>
          <w:color w:val="ED7D31" w:themeColor="accent2"/>
          <w14:textFill>
            <w14:solidFill>
              <w14:schemeClr w14:val="accent2"/>
            </w14:solidFill>
          </w14:textFill>
        </w:rPr>
        <w:t>③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……等编号格式，每页重新编号；五号，宋体，英文字符以及阿拉伯数字用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Roman字体。</w:t>
      </w:r>
    </w:p>
    <w:p>
      <w:pPr>
        <w:spacing w:line="400" w:lineRule="exact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 xml:space="preserve">   </w:t>
      </w: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 xml:space="preserve"> （</w:t>
      </w:r>
      <w:r>
        <w:rPr>
          <w:rFonts w:hint="eastAsia"/>
          <w:b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四</w:t>
      </w: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）参考文献</w:t>
      </w:r>
    </w:p>
    <w:p>
      <w:pPr>
        <w:spacing w:line="400" w:lineRule="exact"/>
        <w:ind w:firstLine="480" w:firstLineChars="200"/>
        <w:rPr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五号，中文为宋体，英文以及阿拉伯数字用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Roman字体，</w:t>
      </w:r>
      <w:r>
        <w:rPr>
          <w:rFonts w:hint="eastAsia" w:ascii="宋体" w:hAnsi="宋体"/>
          <w:bCs/>
          <w:color w:val="ED7D31" w:themeColor="accent2"/>
          <w14:textFill>
            <w14:solidFill>
              <w14:schemeClr w14:val="accent2"/>
            </w14:solidFill>
          </w14:textFill>
        </w:rPr>
        <w:t>标题加</w:t>
      </w:r>
      <w:r>
        <w:rPr>
          <w:rFonts w:hint="eastAsia" w:ascii="宋体" w:hAnsi="宋体"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粗</w:t>
      </w:r>
      <w:r>
        <w:rPr>
          <w:rFonts w:hint="eastAsia" w:ascii="宋体" w:hAnsi="宋体"/>
          <w:bCs/>
          <w:color w:val="ED7D31" w:themeColor="accent2"/>
          <w14:textFill>
            <w14:solidFill>
              <w14:schemeClr w14:val="accent2"/>
            </w14:solidFill>
          </w14:textFill>
        </w:rPr>
        <w:t>，具体文献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不加粗；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中英文参考文献分开，中文在前，英文在后，并分别按（拼音）字母排序；第一行顶格左对齐，第二行右缩进两个空格；引用杂志上的文章和论文集中的文章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都要注明文章的起止页码。</w:t>
      </w:r>
      <w:r>
        <w:rPr>
          <w:rFonts w:hint="eastAsia" w:ascii="宋体" w:hAnsi="宋体"/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>要求至少</w:t>
      </w:r>
      <w:r>
        <w:rPr>
          <w:rFonts w:hint="eastAsia" w:ascii="宋体" w:hAnsi="宋体"/>
          <w:b/>
          <w:bCs w:val="0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15</w:t>
      </w:r>
      <w:r>
        <w:rPr>
          <w:rFonts w:hint="eastAsia" w:ascii="宋体" w:hAnsi="宋体"/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>篇</w:t>
      </w:r>
      <w:r>
        <w:rPr>
          <w:rFonts w:hint="eastAsia" w:ascii="宋体" w:hAnsi="宋体"/>
          <w:b/>
          <w:bCs w:val="0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参考文献，</w:t>
      </w:r>
      <w:r>
        <w:rPr>
          <w:rFonts w:hint="eastAsia" w:ascii="宋体" w:hAnsi="宋体"/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>其中外文文献不少于</w:t>
      </w:r>
      <w:r>
        <w:rPr>
          <w:rFonts w:hint="eastAsia" w:ascii="宋体" w:hAnsi="宋体"/>
          <w:b/>
          <w:bCs w:val="0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5</w:t>
      </w:r>
      <w:r>
        <w:rPr>
          <w:rFonts w:hint="eastAsia" w:ascii="宋体" w:hAnsi="宋体"/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>篇</w:t>
      </w:r>
      <w:r>
        <w:rPr>
          <w:rFonts w:hint="eastAsia" w:ascii="宋体" w:hAnsi="宋体"/>
          <w:b/>
          <w:bCs w:val="0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，</w:t>
      </w:r>
      <w:r>
        <w:rPr>
          <w:rFonts w:hint="eastAsia" w:ascii="宋体" w:hAnsi="宋体"/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>近三年公开发表的文献不少于</w:t>
      </w:r>
      <w:r>
        <w:rPr>
          <w:rFonts w:hint="eastAsia" w:ascii="宋体" w:hAnsi="宋体"/>
          <w:b/>
          <w:bCs w:val="0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3</w:t>
      </w:r>
      <w:r>
        <w:rPr>
          <w:rFonts w:hint="eastAsia" w:ascii="宋体" w:hAnsi="宋体"/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>篇</w:t>
      </w:r>
      <w:r>
        <w:rPr>
          <w:rFonts w:hint="eastAsia" w:ascii="宋体" w:hAnsi="宋体"/>
          <w:b/>
          <w:bCs w:val="0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。文献引注体例和参考文献具体格式</w:t>
      </w:r>
      <w:r>
        <w:rPr>
          <w:rFonts w:hint="eastAsia" w:ascii="宋体" w:hAnsi="宋体"/>
          <w:b/>
          <w:bCs w:val="0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由学院根据学科特点自行统一规定，以下为参考格式。</w:t>
      </w:r>
    </w:p>
    <w:tbl>
      <w:tblPr>
        <w:tblStyle w:val="8"/>
        <w:tblW w:w="77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7740" w:type="dxa"/>
            <w:noWrap w:val="0"/>
            <w:vAlign w:val="top"/>
          </w:tcPr>
          <w:p>
            <w:pPr>
              <w:spacing w:line="300" w:lineRule="exact"/>
              <w:ind w:firstLine="482" w:firstLineChars="200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参考文献：在正文中采用顺序编码制对所引的内容进行标注。方法是按文后所列文献的先后顺序用阿拉伯数字置于方括号中，标注在所引文字的右上角上。参考文献作者3人以上时，必须写齐前3人姓名，超过3人时，其后加“，等”，基本格式如下：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［1］ 期刊：作者.题目［J］.刊名，年份，卷数（期数）：起止页.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［2］ 专著：作者.书名［M］.出版地：出版社，出版年份.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［3］ 译著：原作者.译著名［M］.译者，译.出版地：出版社，出版年.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［4］ 文集：责任者.文集名［C］.出版地：出版者，出版年.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［5］ 文集析出：作者.文题［C］//编者.文集名.出版地：出版社，出版年：起止页.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［6］ 学位论文：作者.文题［D］.所在城市：保存单位，发布年份.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［7］ 专利文献：申请者.专利名：国名，专利号［P］.发布日期.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［8］ 技术标准：技术标准代号.技术标准名称［S］.地名：责任单位，发布年份.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［9］ 科技报告：作者.文题，报告代码及编号［R］.地名：责任单位，发布年份.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［10］ 报纸析出：作者.文题［N］.报纸名，出版日期（版次）.</w:t>
            </w:r>
          </w:p>
          <w:p>
            <w:pPr>
              <w:spacing w:line="300" w:lineRule="exact"/>
              <w:rPr>
                <w:rFonts w:hint="eastAsia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［11］ 电子文献：作者.文题［EB/OL］.［出版年月日］.访问路径.</w:t>
            </w:r>
          </w:p>
        </w:tc>
      </w:tr>
    </w:tbl>
    <w:p>
      <w:pPr>
        <w:autoSpaceDE w:val="0"/>
        <w:autoSpaceDN w:val="0"/>
        <w:adjustRightInd w:val="0"/>
        <w:ind w:left="361" w:hanging="361" w:hangingChars="150"/>
        <w:rPr>
          <w:b/>
          <w:color w:val="ED7D31" w:themeColor="accent2"/>
          <w:szCs w:val="21"/>
          <w14:textFill>
            <w14:solidFill>
              <w14:schemeClr w14:val="accent2"/>
            </w14:solidFill>
          </w14:textFill>
        </w:rPr>
      </w:pPr>
    </w:p>
    <w:p>
      <w:pPr>
        <w:autoSpaceDE w:val="0"/>
        <w:autoSpaceDN w:val="0"/>
        <w:adjustRightInd w:val="0"/>
        <w:ind w:left="361" w:hanging="361" w:hangingChars="150"/>
        <w:rPr>
          <w:b/>
          <w:color w:val="ED7D31" w:themeColor="accent2"/>
          <w:szCs w:val="21"/>
          <w14:textFill>
            <w14:solidFill>
              <w14:schemeClr w14:val="accent2"/>
            </w14:solidFill>
          </w14:textFill>
        </w:rPr>
      </w:pPr>
      <w:r>
        <w:rPr>
          <w:b/>
          <w:color w:val="ED7D31" w:themeColor="accent2"/>
          <w:szCs w:val="21"/>
          <w14:textFill>
            <w14:solidFill>
              <w14:schemeClr w14:val="accent2"/>
            </w14:solidFill>
          </w14:textFill>
        </w:rPr>
        <w:t>参考文献举例如下：</w:t>
      </w:r>
    </w:p>
    <w:p>
      <w:pPr>
        <w:autoSpaceDE w:val="0"/>
        <w:autoSpaceDN w:val="0"/>
        <w:adjustRightInd w:val="0"/>
        <w:ind w:left="361" w:hanging="361" w:hangingChars="150"/>
        <w:rPr>
          <w:b/>
          <w:color w:val="ED7D31" w:themeColor="accent2"/>
          <w:szCs w:val="21"/>
          <w14:textFill>
            <w14:solidFill>
              <w14:schemeClr w14:val="accent2"/>
            </w14:solidFill>
          </w14:textFill>
        </w:rPr>
      </w:pPr>
    </w:p>
    <w:p>
      <w:pPr>
        <w:pStyle w:val="18"/>
        <w:numPr>
          <w:ilvl w:val="0"/>
          <w:numId w:val="0"/>
        </w:numPr>
        <w:spacing w:line="400" w:lineRule="exact"/>
        <w:jc w:val="left"/>
        <w:rPr>
          <w:color w:val="ED7D31" w:themeColor="accent2"/>
          <w:sz w:val="24"/>
          <w:szCs w:val="28"/>
          <w14:textFill>
            <w14:solidFill>
              <w14:schemeClr w14:val="accent2"/>
            </w14:solidFill>
          </w14:textFill>
        </w:rPr>
      </w:pPr>
      <w:bookmarkStart w:id="0" w:name="_Toc40032042"/>
      <w:r>
        <w:rPr>
          <w:color w:val="ED7D31" w:themeColor="accent2"/>
          <w:sz w:val="24"/>
          <w:szCs w:val="28"/>
          <w14:textFill>
            <w14:solidFill>
              <w14:schemeClr w14:val="accent2"/>
            </w14:solidFill>
          </w14:textFill>
        </w:rPr>
        <w:t>参考文献</w:t>
      </w:r>
      <w:bookmarkEnd w:id="0"/>
      <w:r>
        <w:rPr>
          <w:rFonts w:hint="eastAsia"/>
          <w:color w:val="ED7D31" w:themeColor="accent2"/>
          <w:sz w:val="24"/>
          <w:szCs w:val="28"/>
          <w14:textFill>
            <w14:solidFill>
              <w14:schemeClr w14:val="accent2"/>
            </w14:solidFill>
          </w14:textFill>
        </w:rPr>
        <w:t>（橙色标注为说明性文字）</w:t>
      </w:r>
    </w:p>
    <w:p>
      <w:pPr>
        <w:pStyle w:val="6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fldChar w:fldCharType="begin"/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instrText xml:space="preserve"> ADDIN EN.REFLIST </w:instrTex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fldChar w:fldCharType="separate"/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[1] 陈蓉和林秀雀，2014，《波动率偏斜与风险中性偏度能预测尾部风险吗》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，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《管理科学学报》第8期，第113-126页。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（两个作者，学术论文，中文）</w:t>
      </w:r>
    </w:p>
    <w:p>
      <w:pPr>
        <w:pStyle w:val="6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[2]</w:t>
      </w:r>
      <w:bookmarkStart w:id="1" w:name="_Hlk39860145"/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 胡昌生、程志富、陈晶和陈聪，《ETF 期权隐含偏度, 投资者情绪的理性与非理性》，《系统管理学报》第8期，第1073-1084页。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（多于两个作者，学术论文，中文）</w:t>
      </w:r>
    </w:p>
    <w:bookmarkEnd w:id="1"/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[3] 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简军波，2016，《非洲与“海上丝绸之路”：挑战与前景》，复旦国际问题研究院系列工作论文，2016年第1期。（工作论文，中文）</w:t>
      </w: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[4] 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潘黎，2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015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，《文化特征、金融行为与金融发展》，华中科技大学博士学位论文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。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（学位论文，中文）</w:t>
      </w: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[5] 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桑彤和王原，2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013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，《理财产品遭遇信任危机 金融机构如何重树形象》，《中国信息报》2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013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年2月4日，第3版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。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（报纸，中文）</w:t>
      </w: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[6] 熊彼特， 1990，《经济发展理论》，何畏、易家译，商务印书馆。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（译著，中文）</w:t>
      </w:r>
    </w:p>
    <w:p>
      <w:pPr>
        <w:pStyle w:val="6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[7] 郑振龙和陈蓉，2020，《金融工程》（第五版），高等教育出版社。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（专著、教材，中文）</w:t>
      </w: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[8] 佐藤宏，2004，《外出务工、谋职和城市劳动力市场——市场支撑机制的社会网络分析》，载李实、佐藤宏主编，《经济转型的代价──中国城市失业、贫困、收入差距的经验分析》，中国财政经济出版社，第372-390页。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（析出章节、论文集，中文）</w:t>
      </w: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[9] Atilgan Y., G. Bali, and O. Demirtas, 2015, "Implied volatility spreads and expected market returns", </w:t>
      </w:r>
      <w:r>
        <w:rPr>
          <w:i/>
          <w:iCs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Journal of Business and Economic Statistics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, 33(1): 87-101.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 （多于两个作者，学术论文，英文）</w:t>
      </w: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[10] Baker M., 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a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nd J. Wurgler, 2006, "Investor Sentiment and the Cross‐Section of Stock Returns", </w:t>
      </w:r>
      <w:r>
        <w:rPr>
          <w:i/>
          <w:iCs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The Journal of Finance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, 61(4): 1645-1680.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 （两个作者，学术论文，英文）</w:t>
      </w: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[11] Hannum, E., J. Begrman, M. Wang, and J. Liu, 2008, "Education in the Reform Era" in L. Brandt and T. Rawski (ed.), </w:t>
      </w:r>
      <w:r>
        <w:rPr>
          <w:i/>
          <w:iCs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China's Great Economic Transformation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, Cambridge: Cambridige University Press.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 （析出章节、论文集，英文）</w:t>
      </w: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[12] Hull, J., 2021, </w:t>
      </w:r>
      <w:r>
        <w:rPr>
          <w:i/>
          <w:iCs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Options, Futures and Other Derivatives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, 11</w:t>
      </w:r>
      <w:r>
        <w:rPr>
          <w:color w:val="ED7D31" w:themeColor="accent2"/>
          <w:sz w:val="21"/>
          <w:szCs w:val="21"/>
          <w:vertAlign w:val="superscript"/>
          <w14:textFill>
            <w14:solidFill>
              <w14:schemeClr w14:val="accent2"/>
            </w14:solidFill>
          </w14:textFill>
        </w:rPr>
        <w:t>th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 ed., 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Hoboken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: Pearson Education Inc..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 （专著、教材，英文）</w:t>
      </w: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[13] Khorram M., H. Mo, and C. Sanger, 2019, "Information embedded in option prices: Evidence from credit rating agency announcements", </w:t>
      </w:r>
      <w:r>
        <w:rPr>
          <w:i/>
          <w:iCs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SSRN Working Parper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, No. 26325.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 （工作论文，英文）</w:t>
      </w: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[14]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 xml:space="preserve"> 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Kleinaltenkamp J., 2017. "Understanding the Impact of Job Automation on Chinese Employment - A Quantitative Investigation", Peking University Master's Thesis.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 （学位论文，英文）</w:t>
      </w: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[15]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 xml:space="preserve"> 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Repullo, R., and J. Suarez, 2008, "The Procyclical Effects of Basel II", </w:t>
      </w:r>
      <w:r>
        <w:rPr>
          <w:i/>
          <w:iCs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The 9th Jacques Polak Annual Research Conference</w:t>
      </w: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, Washington, USA.</w:t>
      </w:r>
      <w:r>
        <w:rPr>
          <w:rFonts w:hint="eastAsia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 xml:space="preserve"> （会议论文，英文）</w:t>
      </w: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</w:p>
    <w:p>
      <w:pPr>
        <w:pStyle w:val="22"/>
        <w:spacing w:line="400" w:lineRule="exact"/>
        <w:ind w:left="315" w:hanging="315" w:hangingChars="150"/>
        <w:jc w:val="both"/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</w:pPr>
    </w:p>
    <w:p>
      <w:pPr>
        <w:autoSpaceDE w:val="0"/>
        <w:autoSpaceDN w:val="0"/>
        <w:adjustRightInd w:val="0"/>
        <w:ind w:left="315" w:hanging="315" w:hangingChars="150"/>
        <w:rPr>
          <w:b/>
          <w:color w:val="000000"/>
          <w:szCs w:val="21"/>
        </w:rPr>
      </w:pPr>
      <w:r>
        <w:rPr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fldChar w:fldCharType="end"/>
      </w:r>
    </w:p>
    <w:p>
      <w:pPr>
        <w:jc w:val="center"/>
        <w:rPr>
          <w:rFonts w:eastAsia="黑体"/>
          <w:b/>
          <w:bCs/>
          <w:sz w:val="32"/>
          <w:szCs w:val="32"/>
        </w:rPr>
      </w:pPr>
    </w:p>
    <w:p>
      <w:pPr>
        <w:jc w:val="center"/>
        <w:rPr>
          <w:rFonts w:eastAsia="黑体"/>
          <w:b/>
          <w:bCs/>
          <w:sz w:val="32"/>
          <w:szCs w:val="32"/>
        </w:rPr>
      </w:pPr>
    </w:p>
    <w:p>
      <w:pPr>
        <w:spacing w:line="360" w:lineRule="auto"/>
        <w:jc w:val="both"/>
        <w:rPr>
          <w:b/>
          <w:bCs/>
        </w:rPr>
      </w:pPr>
    </w:p>
    <w:p/>
    <w:sectPr>
      <w:headerReference r:id="rId6" w:type="first"/>
      <w:footerReference r:id="rId7" w:type="first"/>
      <w:pgSz w:w="11906" w:h="16838"/>
      <w:pgMar w:top="1440" w:right="1800" w:bottom="1440" w:left="1800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t>１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rFonts w:hint="eastAsia"/>
      </w:rPr>
      <w:t>１</w:t>
    </w:r>
    <w:r>
      <w:fldChar w:fldCharType="end"/>
    </w:r>
    <w:r>
      <w:t xml:space="preserve">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312" w:lineRule="auto"/>
      <w:jc w:val="left"/>
    </w:pPr>
    <w:r>
      <w:rPr>
        <w:rFonts w:hint="eastAsia"/>
      </w:rPr>
      <w:t>毕业论文</w:t>
    </w:r>
    <w:r>
      <w:rPr>
        <w:rFonts w:hint="eastAsia"/>
        <w:lang w:eastAsia="zh-CN"/>
      </w:rPr>
      <w:t>（</w:t>
    </w:r>
    <w:r>
      <w:rPr>
        <w:rFonts w:hint="eastAsia"/>
        <w:lang w:val="en-US" w:eastAsia="zh-CN"/>
      </w:rPr>
      <w:t>设计</w:t>
    </w:r>
    <w:r>
      <w:rPr>
        <w:rFonts w:hint="eastAsia"/>
        <w:lang w:eastAsia="zh-CN"/>
      </w:rPr>
      <w:t>）</w:t>
    </w:r>
    <w:r>
      <w:rPr>
        <w:rFonts w:hint="eastAsia"/>
      </w:rPr>
      <w:t>：正文</w:t>
    </w:r>
  </w:p>
  <w:p>
    <w:pPr>
      <w:pStyle w:val="5"/>
      <w:spacing w:line="312" w:lineRule="auto"/>
      <w:jc w:val="left"/>
    </w:pPr>
    <w:r>
      <w:rPr>
        <w:rFonts w:hint="eastAsia"/>
        <w:lang w:val="en-US" w:eastAsia="zh-CN"/>
      </w:rPr>
      <w:t>毕业论文（设计）题目</w:t>
    </w:r>
    <w:r>
      <w:rPr>
        <w:rFonts w:hint="eastAsia"/>
      </w:rPr>
      <w:t xml:space="preserve">：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312" w:lineRule="auto"/>
      <w:jc w:val="left"/>
    </w:pPr>
    <w:r>
      <w:rPr>
        <w:rFonts w:hint="eastAsia"/>
      </w:rPr>
      <w:t>毕业论文</w:t>
    </w:r>
    <w:r>
      <w:rPr>
        <w:rFonts w:hint="eastAsia"/>
        <w:lang w:eastAsia="zh-CN"/>
      </w:rPr>
      <w:t>（</w:t>
    </w:r>
    <w:r>
      <w:rPr>
        <w:rFonts w:hint="eastAsia"/>
        <w:lang w:val="en-US" w:eastAsia="zh-CN"/>
      </w:rPr>
      <w:t>设计</w:t>
    </w:r>
    <w:r>
      <w:rPr>
        <w:rFonts w:hint="eastAsia"/>
        <w:lang w:eastAsia="zh-CN"/>
      </w:rPr>
      <w:t>）</w:t>
    </w:r>
    <w:r>
      <w:rPr>
        <w:rFonts w:hint="eastAsia"/>
      </w:rPr>
      <w:t>：正文</w:t>
    </w:r>
  </w:p>
  <w:p>
    <w:pPr>
      <w:pStyle w:val="5"/>
      <w:spacing w:line="312" w:lineRule="auto"/>
      <w:jc w:val="left"/>
    </w:pPr>
    <w:r>
      <w:rPr>
        <w:rFonts w:hint="eastAsia"/>
        <w:lang w:val="en-US" w:eastAsia="zh-CN"/>
      </w:rPr>
      <w:t>毕业论文（设计）题目</w:t>
    </w:r>
    <w:r>
      <w:rPr>
        <w:rFonts w:hint="eastAsia"/>
      </w:rPr>
      <w:t>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F6CF1"/>
    <w:multiLevelType w:val="multilevel"/>
    <w:tmpl w:val="57CF6CF1"/>
    <w:lvl w:ilvl="0" w:tentative="0">
      <w:start w:val="1"/>
      <w:numFmt w:val="chineseCountingThousand"/>
      <w:pStyle w:val="18"/>
      <w:suff w:val="nothing"/>
      <w:lvlText w:val="%1、"/>
      <w:lvlJc w:val="left"/>
      <w:pPr>
        <w:ind w:left="425" w:hanging="425"/>
      </w:pPr>
      <w:rPr>
        <w:rFonts w:hint="default" w:ascii="Times New Roman" w:hAnsi="Times New Roman" w:eastAsia="宋体"/>
        <w:sz w:val="28"/>
      </w:rPr>
    </w:lvl>
    <w:lvl w:ilvl="1" w:tentative="0">
      <w:start w:val="1"/>
      <w:numFmt w:val="chineseCountingThousand"/>
      <w:pStyle w:val="19"/>
      <w:suff w:val="nothing"/>
      <w:lvlText w:val="（%2）"/>
      <w:lvlJc w:val="left"/>
      <w:pPr>
        <w:ind w:left="567" w:hanging="567"/>
      </w:pPr>
      <w:rPr>
        <w:rFonts w:hint="default" w:ascii="Times New Roman" w:hAnsi="Times New Roman" w:eastAsia="宋体"/>
        <w:sz w:val="24"/>
      </w:rPr>
    </w:lvl>
    <w:lvl w:ilvl="2" w:tentative="0">
      <w:start w:val="1"/>
      <w:numFmt w:val="decimal"/>
      <w:pStyle w:val="20"/>
      <w:suff w:val="nothing"/>
      <w:lvlText w:val="%3."/>
      <w:lvlJc w:val="left"/>
      <w:pPr>
        <w:ind w:left="1418" w:hanging="567"/>
      </w:pPr>
      <w:rPr>
        <w:rFonts w:hint="default" w:ascii="Times New Roman" w:hAnsi="Times New Roman" w:eastAsia="宋体"/>
        <w:sz w:val="24"/>
      </w:rPr>
    </w:lvl>
    <w:lvl w:ilvl="3" w:tentative="0">
      <w:start w:val="1"/>
      <w:numFmt w:val="decimal"/>
      <w:pStyle w:val="21"/>
      <w:lvlText w:val="（%4）"/>
      <w:lvlJc w:val="left"/>
      <w:pPr>
        <w:ind w:left="1984" w:hanging="708"/>
      </w:pPr>
      <w:rPr>
        <w:rFonts w:hint="default" w:ascii="Times New Roman" w:hAnsi="Times New Roman" w:eastAsia="宋体"/>
        <w:sz w:val="24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70E1693"/>
    <w:multiLevelType w:val="multilevel"/>
    <w:tmpl w:val="770E1693"/>
    <w:lvl w:ilvl="0" w:tentative="0">
      <w:start w:val="1"/>
      <w:numFmt w:val="decimal"/>
      <w:pStyle w:val="15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BDC"/>
    <w:rsid w:val="00004638"/>
    <w:rsid w:val="0002445B"/>
    <w:rsid w:val="00034BEC"/>
    <w:rsid w:val="00035307"/>
    <w:rsid w:val="000373E1"/>
    <w:rsid w:val="00041ED8"/>
    <w:rsid w:val="0006668C"/>
    <w:rsid w:val="00085CDE"/>
    <w:rsid w:val="00086F7A"/>
    <w:rsid w:val="000A34C5"/>
    <w:rsid w:val="000A6FD2"/>
    <w:rsid w:val="000B433D"/>
    <w:rsid w:val="000F4220"/>
    <w:rsid w:val="000F521B"/>
    <w:rsid w:val="00106A43"/>
    <w:rsid w:val="0013350A"/>
    <w:rsid w:val="001363A4"/>
    <w:rsid w:val="00137946"/>
    <w:rsid w:val="001A6FB5"/>
    <w:rsid w:val="001C2D99"/>
    <w:rsid w:val="002053A0"/>
    <w:rsid w:val="00207254"/>
    <w:rsid w:val="0021071D"/>
    <w:rsid w:val="002155A0"/>
    <w:rsid w:val="00224535"/>
    <w:rsid w:val="00227DB3"/>
    <w:rsid w:val="00262071"/>
    <w:rsid w:val="002C4BDC"/>
    <w:rsid w:val="002C5550"/>
    <w:rsid w:val="002D018F"/>
    <w:rsid w:val="002D37E3"/>
    <w:rsid w:val="002F3AD3"/>
    <w:rsid w:val="002F4F32"/>
    <w:rsid w:val="00320E96"/>
    <w:rsid w:val="0033365E"/>
    <w:rsid w:val="00363815"/>
    <w:rsid w:val="00363AFB"/>
    <w:rsid w:val="00363F5F"/>
    <w:rsid w:val="003867DB"/>
    <w:rsid w:val="00391952"/>
    <w:rsid w:val="00393B29"/>
    <w:rsid w:val="00397355"/>
    <w:rsid w:val="003A19D0"/>
    <w:rsid w:val="004304A3"/>
    <w:rsid w:val="00440CDF"/>
    <w:rsid w:val="0046022D"/>
    <w:rsid w:val="00463BE5"/>
    <w:rsid w:val="00464547"/>
    <w:rsid w:val="004A24E4"/>
    <w:rsid w:val="004D103A"/>
    <w:rsid w:val="004E0001"/>
    <w:rsid w:val="004F5F77"/>
    <w:rsid w:val="005128C5"/>
    <w:rsid w:val="0051374D"/>
    <w:rsid w:val="005163FF"/>
    <w:rsid w:val="00521AE8"/>
    <w:rsid w:val="00521B6E"/>
    <w:rsid w:val="00523801"/>
    <w:rsid w:val="005271BB"/>
    <w:rsid w:val="005A2859"/>
    <w:rsid w:val="005A309F"/>
    <w:rsid w:val="005C292E"/>
    <w:rsid w:val="005D4458"/>
    <w:rsid w:val="005D4E51"/>
    <w:rsid w:val="005D60BE"/>
    <w:rsid w:val="006029FD"/>
    <w:rsid w:val="00624C70"/>
    <w:rsid w:val="0062769A"/>
    <w:rsid w:val="00645A71"/>
    <w:rsid w:val="00677F8C"/>
    <w:rsid w:val="00684CB7"/>
    <w:rsid w:val="00685E8C"/>
    <w:rsid w:val="00687362"/>
    <w:rsid w:val="006A0929"/>
    <w:rsid w:val="006A342E"/>
    <w:rsid w:val="006B706B"/>
    <w:rsid w:val="006E0A0E"/>
    <w:rsid w:val="00712C8D"/>
    <w:rsid w:val="00721C75"/>
    <w:rsid w:val="0073625F"/>
    <w:rsid w:val="00740908"/>
    <w:rsid w:val="00750CC8"/>
    <w:rsid w:val="00765472"/>
    <w:rsid w:val="0079476C"/>
    <w:rsid w:val="0079715F"/>
    <w:rsid w:val="007C3529"/>
    <w:rsid w:val="007D1914"/>
    <w:rsid w:val="007E4D90"/>
    <w:rsid w:val="008059AD"/>
    <w:rsid w:val="00822AEA"/>
    <w:rsid w:val="00822E9C"/>
    <w:rsid w:val="008233D4"/>
    <w:rsid w:val="00830BFD"/>
    <w:rsid w:val="00830E9A"/>
    <w:rsid w:val="008467E9"/>
    <w:rsid w:val="00851608"/>
    <w:rsid w:val="00853607"/>
    <w:rsid w:val="00856EF9"/>
    <w:rsid w:val="008D6D45"/>
    <w:rsid w:val="008E5061"/>
    <w:rsid w:val="008E62A5"/>
    <w:rsid w:val="008E6FB9"/>
    <w:rsid w:val="008F1C0E"/>
    <w:rsid w:val="008F580B"/>
    <w:rsid w:val="008F62E4"/>
    <w:rsid w:val="00900E29"/>
    <w:rsid w:val="009614FC"/>
    <w:rsid w:val="00976C31"/>
    <w:rsid w:val="00A01A12"/>
    <w:rsid w:val="00A23BCD"/>
    <w:rsid w:val="00AA73CF"/>
    <w:rsid w:val="00AC0F29"/>
    <w:rsid w:val="00AC5439"/>
    <w:rsid w:val="00AD5F8C"/>
    <w:rsid w:val="00AF560D"/>
    <w:rsid w:val="00B022D1"/>
    <w:rsid w:val="00B07E70"/>
    <w:rsid w:val="00B07EF7"/>
    <w:rsid w:val="00B147CE"/>
    <w:rsid w:val="00B17394"/>
    <w:rsid w:val="00B247E4"/>
    <w:rsid w:val="00B25686"/>
    <w:rsid w:val="00B31310"/>
    <w:rsid w:val="00B4325B"/>
    <w:rsid w:val="00B65FFB"/>
    <w:rsid w:val="00B76355"/>
    <w:rsid w:val="00B77EE3"/>
    <w:rsid w:val="00B948DE"/>
    <w:rsid w:val="00BA5041"/>
    <w:rsid w:val="00BA626D"/>
    <w:rsid w:val="00BC4C22"/>
    <w:rsid w:val="00BE3E6B"/>
    <w:rsid w:val="00BE5994"/>
    <w:rsid w:val="00BF5BCD"/>
    <w:rsid w:val="00C103F3"/>
    <w:rsid w:val="00C22FF8"/>
    <w:rsid w:val="00C5781C"/>
    <w:rsid w:val="00C63126"/>
    <w:rsid w:val="00C71014"/>
    <w:rsid w:val="00CB567D"/>
    <w:rsid w:val="00CC0C00"/>
    <w:rsid w:val="00CC2CC6"/>
    <w:rsid w:val="00CC4A9A"/>
    <w:rsid w:val="00CC5514"/>
    <w:rsid w:val="00D1077A"/>
    <w:rsid w:val="00D337F2"/>
    <w:rsid w:val="00D34422"/>
    <w:rsid w:val="00D41236"/>
    <w:rsid w:val="00D749C7"/>
    <w:rsid w:val="00DF0D4A"/>
    <w:rsid w:val="00DF341B"/>
    <w:rsid w:val="00DF42E1"/>
    <w:rsid w:val="00DF68F6"/>
    <w:rsid w:val="00E14E0B"/>
    <w:rsid w:val="00E26691"/>
    <w:rsid w:val="00E315A2"/>
    <w:rsid w:val="00E651A6"/>
    <w:rsid w:val="00E93493"/>
    <w:rsid w:val="00EA5285"/>
    <w:rsid w:val="00EE66F3"/>
    <w:rsid w:val="00F117EF"/>
    <w:rsid w:val="00F34FFD"/>
    <w:rsid w:val="00F36274"/>
    <w:rsid w:val="00F828DB"/>
    <w:rsid w:val="00F862EF"/>
    <w:rsid w:val="00FA4970"/>
    <w:rsid w:val="00FE6E33"/>
    <w:rsid w:val="00FF7CBA"/>
    <w:rsid w:val="063C2280"/>
    <w:rsid w:val="08475AEF"/>
    <w:rsid w:val="0B5924D8"/>
    <w:rsid w:val="0C272270"/>
    <w:rsid w:val="110A1897"/>
    <w:rsid w:val="1CA83D3D"/>
    <w:rsid w:val="42A64D0A"/>
    <w:rsid w:val="52584CAD"/>
    <w:rsid w:val="598E60C3"/>
    <w:rsid w:val="7AD3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nhideWhenUsed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paragraph" w:styleId="3">
    <w:name w:val="endnote text"/>
    <w:basedOn w:val="1"/>
    <w:link w:val="13"/>
    <w:unhideWhenUsed/>
    <w:uiPriority w:val="0"/>
    <w:pPr>
      <w:spacing w:before="100" w:beforeAutospacing="1" w:after="100" w:afterAutospacing="1"/>
    </w:pPr>
    <w:rPr>
      <w:rFonts w:ascii="宋体" w:hAnsi="宋体" w:cs="宋体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unhideWhenUsed/>
    <w:qFormat/>
    <w:uiPriority w:val="39"/>
    <w:pPr>
      <w:spacing w:line="400" w:lineRule="exact"/>
      <w:ind w:firstLine="200" w:firstLineChars="200"/>
    </w:pPr>
    <w:rPr>
      <w:bCs/>
      <w:szCs w:val="22"/>
    </w:rPr>
  </w:style>
  <w:style w:type="paragraph" w:styleId="7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眉 字符"/>
    <w:link w:val="5"/>
    <w:qFormat/>
    <w:uiPriority w:val="99"/>
    <w:rPr>
      <w:sz w:val="18"/>
      <w:szCs w:val="18"/>
    </w:rPr>
  </w:style>
  <w:style w:type="character" w:customStyle="1" w:styleId="13">
    <w:name w:val="尾注文本 字符"/>
    <w:link w:val="3"/>
    <w:qFormat/>
    <w:uiPriority w:val="0"/>
    <w:rPr>
      <w:rFonts w:ascii="宋体" w:hAnsi="宋体" w:cs="宋体"/>
      <w:sz w:val="24"/>
      <w:szCs w:val="24"/>
    </w:rPr>
  </w:style>
  <w:style w:type="character" w:customStyle="1" w:styleId="14">
    <w:name w:val="纯文本 字符"/>
    <w:link w:val="2"/>
    <w:qFormat/>
    <w:uiPriority w:val="0"/>
    <w:rPr>
      <w:rFonts w:ascii="宋体" w:hAnsi="宋体" w:cs="宋体"/>
      <w:sz w:val="24"/>
      <w:szCs w:val="24"/>
    </w:rPr>
  </w:style>
  <w:style w:type="paragraph" w:customStyle="1" w:styleId="15">
    <w:name w:val="参考文献"/>
    <w:basedOn w:val="1"/>
    <w:qFormat/>
    <w:uiPriority w:val="0"/>
    <w:pPr>
      <w:widowControl w:val="0"/>
      <w:numPr>
        <w:ilvl w:val="0"/>
        <w:numId w:val="1"/>
      </w:numPr>
      <w:tabs>
        <w:tab w:val="left" w:pos="488"/>
      </w:tabs>
      <w:overflowPunct w:val="0"/>
      <w:autoSpaceDN w:val="0"/>
      <w:adjustRightInd w:val="0"/>
      <w:spacing w:line="288" w:lineRule="auto"/>
      <w:jc w:val="both"/>
    </w:pPr>
    <w:rPr>
      <w:rFonts w:cs="Courier New"/>
      <w:sz w:val="21"/>
      <w:szCs w:val="21"/>
    </w:rPr>
  </w:style>
  <w:style w:type="paragraph" w:customStyle="1" w:styleId="16">
    <w:name w:val="news"/>
    <w:basedOn w:val="1"/>
    <w:qFormat/>
    <w:uiPriority w:val="0"/>
    <w:rPr>
      <w:rFonts w:ascii="宋体" w:hAnsi="宋体" w:cs="宋体"/>
      <w:color w:val="333333"/>
    </w:rPr>
  </w:style>
  <w:style w:type="character" w:customStyle="1" w:styleId="17">
    <w:name w:val="datatitle1"/>
    <w:qFormat/>
    <w:uiPriority w:val="0"/>
    <w:rPr>
      <w:b/>
      <w:bCs/>
      <w:color w:val="10619F"/>
      <w:sz w:val="21"/>
      <w:szCs w:val="21"/>
    </w:rPr>
  </w:style>
  <w:style w:type="paragraph" w:customStyle="1" w:styleId="18">
    <w:name w:val="毕业论文一级标题"/>
    <w:basedOn w:val="1"/>
    <w:qFormat/>
    <w:uiPriority w:val="0"/>
    <w:pPr>
      <w:numPr>
        <w:ilvl w:val="0"/>
        <w:numId w:val="2"/>
      </w:numPr>
      <w:spacing w:line="480" w:lineRule="auto"/>
      <w:jc w:val="center"/>
    </w:pPr>
    <w:rPr>
      <w:b/>
      <w:bCs/>
      <w:sz w:val="28"/>
      <w:szCs w:val="32"/>
    </w:rPr>
  </w:style>
  <w:style w:type="paragraph" w:customStyle="1" w:styleId="19">
    <w:name w:val="毕业论文二级标题"/>
    <w:basedOn w:val="18"/>
    <w:qFormat/>
    <w:uiPriority w:val="0"/>
    <w:pPr>
      <w:numPr>
        <w:ilvl w:val="1"/>
      </w:numPr>
      <w:spacing w:line="400" w:lineRule="exact"/>
      <w:ind w:left="0" w:firstLine="200" w:firstLineChars="200"/>
      <w:jc w:val="left"/>
    </w:pPr>
    <w:rPr>
      <w:sz w:val="24"/>
    </w:rPr>
  </w:style>
  <w:style w:type="paragraph" w:customStyle="1" w:styleId="20">
    <w:name w:val="毕业论文三级标题"/>
    <w:basedOn w:val="19"/>
    <w:qFormat/>
    <w:uiPriority w:val="0"/>
    <w:pPr>
      <w:numPr>
        <w:ilvl w:val="2"/>
      </w:numPr>
      <w:ind w:left="0" w:firstLine="200"/>
    </w:pPr>
  </w:style>
  <w:style w:type="paragraph" w:customStyle="1" w:styleId="21">
    <w:name w:val="毕业论文四级标题"/>
    <w:basedOn w:val="20"/>
    <w:qFormat/>
    <w:uiPriority w:val="0"/>
    <w:pPr>
      <w:numPr>
        <w:ilvl w:val="3"/>
      </w:numPr>
    </w:pPr>
  </w:style>
  <w:style w:type="paragraph" w:customStyle="1" w:styleId="22">
    <w:name w:val="EndNote Bibliography"/>
    <w:basedOn w:val="1"/>
    <w:link w:val="23"/>
    <w:qFormat/>
    <w:uiPriority w:val="0"/>
  </w:style>
  <w:style w:type="character" w:customStyle="1" w:styleId="23">
    <w:name w:val="EndNote Bibliography 字符"/>
    <w:link w:val="22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B44FCC-92EC-40A0-914A-B60C7F3CA5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zj</Company>
  <Pages>8</Pages>
  <Words>696</Words>
  <Characters>3972</Characters>
  <Lines>33</Lines>
  <Paragraphs>9</Paragraphs>
  <TotalTime>1</TotalTime>
  <ScaleCrop>false</ScaleCrop>
  <LinksUpToDate>false</LinksUpToDate>
  <CharactersWithSpaces>4659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2021-09-29T14:54:00Z</dcterms:created>
  <dc:creator>hz</dc:creator>
  <cp:lastModifiedBy>Y</cp:lastModifiedBy>
  <cp:lastPrinted>2021-10-07T13:30:00Z</cp:lastPrinted>
  <dcterms:modified xsi:type="dcterms:W3CDTF">2024-09-29T01:04:18Z</dcterms:modified>
  <dc:title>浙江工商大学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